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October 2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8: Triangles, Transformations &amp; Volume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Shapes can be classified by properties and moved without changing size or shape.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What stays the same when we translate, rotate, or reflect a shape?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classify triangles by side length and angle type.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plot and transform 2D shapes on the Cartesian plane.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build 3D objects with cubes to determine volume.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Classification of triangles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Transformations on the Cartesian plane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Volume using unit cubes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is embedded in memory, history, and story.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First Peoples art examples to illustrate transformations.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labelled triangle-classification posters.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classifying a triangle and transforming a shape.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Which transformation was hardest to visualize, and why?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and cube-building work collected as evidence.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Sort triangle cutouts by side length and angle type.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discusses the classification categories.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today’s focus.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sorting triangle cutouts by properties.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Activates prior geometric vocabulary.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Builds on angle and shape work from Lesson 7. </w:t>
            </w:r>
            <w:r>
              <w:rPr>
                <w:rFonts w:cstheme="minorHAnsi"/>
                <w:b/>
                <w:sz w:val="20"/>
                <w:szCs w:val="20"/>
              </w:rPr>
              <w:t>Triangles, transformations, and volume.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Which transformation was hardest for you to visualize?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triangle cutouts, art examples, and unit cubes.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Triangle cutouts, Cartesian plane grids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First Peoples art examples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instruction: translating, rotating, reflecting in quadrant 1.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Hands-on practice building cube objects to find volume.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First Peoples art examples ground transformation vocabulary.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Unit cubes, Cartesian plane grids, grid paper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Extension: multi-step transformations.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Connect to the art patterns explored in Lesson 6.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(cubes), visual (grids/art), or symbolic (coordinates).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classify a triangle and transform a shape.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